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bidi w:val="0"/>
        <w:spacing w:before="140" w:after="120"/>
        <w:jc w:val="start"/>
        <w:rPr/>
      </w:pPr>
      <w:r>
        <w:rPr>
          <w:rStyle w:val="Strong"/>
          <w:b/>
          <w:bCs/>
        </w:rPr>
        <w:t>Testo di capitolato: Luce di delimitazione a barra per spazzaneve, bianca in avanti / rossa all’indietro</w:t>
      </w:r>
    </w:p>
    <w:p>
      <w:pPr>
        <w:pStyle w:val="BodyText"/>
        <w:bidi w:val="0"/>
        <w:jc w:val="start"/>
        <w:rPr/>
      </w:pPr>
      <w:r>
        <w:rPr>
          <w:rStyle w:val="Strong"/>
          <w:b/>
        </w:rPr>
        <w:t>N. voce: ________   Quantità: ________ pz   Prezzo unitario: ____________ €/pz   Prezzo totale: ____________ €</w:t>
      </w:r>
    </w:p>
    <w:p>
      <w:pPr>
        <w:pStyle w:val="BodyText"/>
        <w:bidi w:val="0"/>
        <w:jc w:val="start"/>
        <w:rPr/>
      </w:pPr>
      <w:r>
        <w:rPr>
          <w:rStyle w:val="Strong"/>
          <w:b/>
        </w:rPr>
        <w:t>Testo breve: Asta luminosa LED per spazzaneve, bianca in avanti / rossa all’indietro, 22–37 V DC, IP6K9K, lunghezza 911 mm, o equivalente</w:t>
      </w:r>
    </w:p>
    <w:p>
      <w:pPr>
        <w:pStyle w:val="Heading4"/>
        <w:bidi w:val="0"/>
        <w:jc w:val="start"/>
        <w:rPr/>
      </w:pPr>
      <w:r>
        <w:rPr>
          <w:rStyle w:val="Strong"/>
          <w:b/>
          <w:bCs/>
        </w:rPr>
        <w:t>1. Specifica generale</w:t>
      </w:r>
    </w:p>
    <w:p>
      <w:pPr>
        <w:pStyle w:val="BodyText"/>
        <w:bidi w:val="0"/>
        <w:jc w:val="start"/>
        <w:rPr/>
      </w:pPr>
      <w:r>
        <w:rPr/>
        <w:t>Luce di delimitazione LED a barra per la segnalazione della larghezza dello spazzaneve su veicoli per il servizio invernale, con luce bianca fissa in avanti e luce rossa fissa all’indietro, un pezzo per lato dello spazzaneve. Grado di protezione IP6K9K, temperatura di esercizio da –40 a +60 °C.</w:t>
      </w:r>
    </w:p>
    <w:p>
      <w:pPr>
        <w:pStyle w:val="Heading4"/>
        <w:bidi w:val="0"/>
        <w:jc w:val="start"/>
        <w:rPr/>
      </w:pPr>
      <w:r>
        <w:rPr>
          <w:rStyle w:val="Strong"/>
          <w:b/>
          <w:bCs/>
        </w:rPr>
        <w:t>2. Caratteristiche tecniche</w:t>
      </w:r>
    </w:p>
    <w:p>
      <w:pPr>
        <w:pStyle w:val="BodyText"/>
        <w:bidi w:val="0"/>
        <w:jc w:val="start"/>
        <w:rPr/>
      </w:pPr>
      <w:r>
        <w:rPr>
          <w:rStyle w:val="Strong"/>
          <w:b/>
        </w:rPr>
        <w:t>Involucro e grado di protezione: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Tubo luminoso in policarbonato stabilizzato UV (Ø 25 mm) con profilo in alluminio continuo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Adattatore per asta (Ø 30 mm) e tappi terminali in acciaio inox 1.4401, sigillati con O-ring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Grado di protezione IP6K9K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Temperatura di esercizio da –40 a +60 °C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Lunghezza complessiva 911 mm, massa ca. 0,8 kg</w:t>
      </w:r>
    </w:p>
    <w:p>
      <w:pPr>
        <w:pStyle w:val="BodyText"/>
        <w:bidi w:val="0"/>
        <w:jc w:val="start"/>
        <w:rPr/>
      </w:pPr>
      <w:r>
        <w:rPr>
          <w:rStyle w:val="Strong"/>
          <w:b/>
        </w:rPr>
        <w:t>Proprietà ottiche: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Lunghezza luminosa 500 mm per lato dietro un diffusore opalino; sorgente luminosa: modulo LED non sostituibile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Bianca in avanti ca. 70 cd, rossa all’indietro ca. 5 cd (valori indicativi, misurazione con luxmetro, distanza 1 m, ambiente oscurato)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Modalità di funzionamento: luce fissa; nessuna funzione lampeggiante o alternata</w:t>
      </w:r>
    </w:p>
    <w:p>
      <w:pPr>
        <w:pStyle w:val="BodyText"/>
        <w:bidi w:val="0"/>
        <w:jc w:val="start"/>
        <w:rPr/>
      </w:pPr>
      <w:r>
        <w:rPr>
          <w:rStyle w:val="Strong"/>
          <w:b/>
        </w:rPr>
        <w:t>Specifica elettrica: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Tensione di esercizio 22–37 V DC, corrente assorbita 125 mA, potenza assorbita 3 ± 0,5 W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Protezione contro inversione di polarità e sovratensione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Cavo di collegamento 1,5 m, bipolare, collegato in modo fisso, estremità libera; rosso (+) alla tensione di bordo commutata e protetta da fusibile, nero (–) a massa</w:t>
      </w:r>
    </w:p>
    <w:p>
      <w:pPr>
        <w:pStyle w:val="BodyText"/>
        <w:bidi w:val="0"/>
        <w:jc w:val="start"/>
        <w:rPr/>
      </w:pPr>
      <w:r>
        <w:rPr>
          <w:rStyle w:val="Strong"/>
          <w:b/>
        </w:rPr>
        <w:t>Fissaggio meccanico: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Alloggiamento: asta di delimitazione o elemento elastico Ø 25 mm, profondità di inserimento 108 mm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Antirotazione interna (uscita del cavo all’indietro = bianco in avanti)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Fissaggio con 6 viti a testa cilindrica M5 × 8 (acciaio inox A4), coppia di serraggio 2 Nm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Montaggio e collegamento da parte di un’officina specializzata secondo le norme di montaggio (UN-R48, StVZO – codice tedesco per l’omologazione stradale) e la perizia di montaggio del veicolo; un’asta luminosa per lato dello spazzaneve</w:t>
      </w:r>
    </w:p>
    <w:p>
      <w:pPr>
        <w:pStyle w:val="Heading4"/>
        <w:bidi w:val="0"/>
        <w:jc w:val="start"/>
        <w:rPr/>
      </w:pPr>
      <w:r>
        <w:rPr>
          <w:rStyle w:val="Strong"/>
          <w:b/>
          <w:bCs/>
        </w:rPr>
        <w:t>3. Caratteristiche particolari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Bianca in avanti per il traffico in senso opposto, rossa all’indietro per il conducente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Esente da manutenzione; l’asta luminosa non deve essere aperta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Materiali resistenti alle intemperie e alla corrosione (policarbonato stabilizzato UV, acciaio inox)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Paese di origine Germania, codice doganale 8512 2000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Procedure di omologazione presso KBA e TÜV richieste, prossime alla conclusione; prove su richiesta dopo il rilascio</w:t>
      </w:r>
    </w:p>
    <w:p>
      <w:pPr>
        <w:pStyle w:val="Heading4"/>
        <w:bidi w:val="0"/>
        <w:jc w:val="start"/>
        <w:rPr/>
      </w:pPr>
      <w:r>
        <w:rPr>
          <w:rStyle w:val="Strong"/>
          <w:b/>
          <w:bCs/>
        </w:rPr>
        <w:t>4. Dotazione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Asta luminosa completamente montata con adattatore per asta e cavo di collegamento (1,5 m)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6 viti a testa cilindrica M5 × 8 (acciaio inox A4)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Istruzioni di uso e montaggio</w:t>
      </w:r>
    </w:p>
    <w:p>
      <w:pPr>
        <w:pStyle w:val="BodyText"/>
        <w:bidi w:val="0"/>
        <w:jc w:val="start"/>
        <w:rPr/>
      </w:pPr>
      <w:r>
        <w:rPr/>
        <w:t>Prodotto di riferimento: asta luminosa LED LED-Emotion SPL-A-R1 (cod. art. 200159) di LED-Emotion GmbH o equivalente. Con l’offerta devono essere presentati la scheda tecnica e le istruzioni di uso e montaggio del prodotto offerto.</w:t>
      </w:r>
    </w:p>
    <w:p>
      <w:pPr>
        <w:pStyle w:val="BodyText"/>
        <w:bidi w:val="0"/>
        <w:jc w:val="start"/>
        <w:rPr/>
      </w:pPr>
      <w:r>
        <w:rPr>
          <w:rStyle w:val="Strong"/>
          <w:b/>
        </w:rPr>
        <w:t>Prodotto offerto, marca/tipo: __________________________________________</w:t>
      </w:r>
    </w:p>
    <w:p>
      <w:pPr>
        <w:pStyle w:val="BodyText"/>
        <w:bidi w:val="0"/>
        <w:jc w:val="start"/>
        <w:rPr/>
      </w:pPr>
      <w:r>
        <w:rPr/>
        <w:t>Produttore: LED-Emotion GmbH · Hannoversche Str. 39A · 31275 Lehrte, Germania · Aggiornato a ottobre 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de-DE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de-DE" w:eastAsia="zh-CN" w:bidi="hi-IN"/>
    </w:rPr>
  </w:style>
  <w:style w:type="paragraph" w:styleId="Heading3">
    <w:name w:val="heading 3"/>
    <w:basedOn w:val="berschrift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paragraph" w:styleId="Heading4">
    <w:name w:val="heading 4"/>
    <w:basedOn w:val="berschrift"/>
    <w:next w:val="BodyText"/>
    <w:qFormat/>
    <w:pPr>
      <w:spacing w:before="120" w:after="120"/>
      <w:outlineLvl w:val="3"/>
    </w:pPr>
    <w:rPr>
      <w:rFonts w:ascii="Liberation Serif" w:hAnsi="Liberation Serif" w:eastAsia="NSimSun" w:cs="Lucida Sans"/>
      <w:b/>
      <w:bCs/>
      <w:sz w:val="24"/>
      <w:szCs w:val="24"/>
    </w:rPr>
  </w:style>
  <w:style w:type="character" w:styleId="Strong">
    <w:name w:val="Strong"/>
    <w:qFormat/>
    <w:rPr>
      <w:b/>
      <w:bCs/>
    </w:rPr>
  </w:style>
  <w:style w:type="character" w:styleId="Aufzhlungszeichen">
    <w:name w:val="Aufzählungszeichen"/>
    <w:qFormat/>
    <w:rPr>
      <w:rFonts w:ascii="OpenSymbol" w:hAnsi="OpenSymbol" w:eastAsia="OpenSymbol" w:cs="OpenSymbol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2146</TotalTime>
  <Application>LibreOffice/24.8.4.2$Windows_X86_64 LibreOffice_project/bb3cfa12c7b1bf994ecc5649a80400d06cd71002</Application>
  <AppVersion>15.0000</AppVersion>
  <Pages>2</Pages>
  <Words>272</Words>
  <Characters>2152</Characters>
  <CharactersWithSpaces>2380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2025-02-02T11:14:19Z</dcterms:created>
  <dc:creator/>
  <dc:description/>
  <dc:language>de-DE</dc:language>
  <cp:lastModifiedBy/>
  <dcterms:modified xsi:type="dcterms:W3CDTF">2025-02-03T23:25:04Z</dcterms:modified>
  <cp:revision>2</cp:revision>
  <dc:subject/>
  <dc:title/>
</cp:coreProperties>
</file>